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75C3B"/>
        </w:rPr>
        <w:t>NDIS mid-term audit: preparation checklist</w:t>
      </w:r>
    </w:p>
    <w:p>
      <w:r>
        <w:rPr>
          <w:sz w:val="20"/>
        </w:rPr>
        <w:t>ProviderQMS Provider Assurance Centre. Free checklist, taken from the page of the same name at providerqms.com.au/resources on 25 September 2026. Every numbered reference is a source listed at the end; read the source before you act.</w:t>
      </w:r>
    </w:p>
    <w:p>
      <w:r>
        <w:t>Each item below is an evidence type named in the Commission's account; the second column is the record we would expect to hold it.</w:t>
      </w:r>
    </w:p>
    <w:p>
      <w:pPr>
        <w:pStyle w:val="Heading2"/>
      </w:pPr>
      <w:r>
        <w:rPr>
          <w:color w:val="075C3B"/>
        </w:rPr>
        <w:t>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Incidents, start to finish: the incident register with dates, actions, outcomes and, where they applied, reportable incident notifications; one incident traced end to end. [1]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Complaints: the complaints register with acknowledgement, action, outcome and the participant's view, and what changed as a result. [1]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Leadership monitoring of risk and quality: meeting minutes, the risk register with review dates, and incident and complaint trend reports seen by leadership. [1]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Staff files, sampled: worker screening clearance, qualifications, induction record, training log and supervision notes for each sampled worker. [1]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Participant records against plans: support plans, consent records and notes showing supports delivered as planned, ready for the participants the auditor will interview. [1]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Corrective actions from the last audit: each earlier non-conformity, what was corrected or strengthened, and the evidence that it took, within the timeframe given. [1] Our corrective action template is written for exactly this.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Key personnel and conditions: any change to key personnel notified to the Commission, and every condition on your certificate met. [2]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Sources</w:t>
      </w:r>
    </w:p>
    <w:p>
      <w:r>
        <w:rPr>
          <w:sz w:val="18"/>
        </w:rPr>
        <w:t>1. The quality audit process, NDIS Commission, opened 25 September 2026.</w:t>
      </w:r>
    </w:p>
    <w:p>
      <w:r>
        <w:rPr>
          <w:sz w:val="18"/>
        </w:rPr>
        <w:t>2. About registration, NDIS Commission, last updated 7 August 2026, opened 25 September 2026.</w:t>
      </w:r>
    </w:p>
    <w:p>
      <w:r>
        <w:rPr>
          <w:sz w:val="18"/>
        </w:rPr>
        <w:t>3. Apply for registration, NDIS Quality and Safeguards Commission, last updated 30 June 2026, opened 25 September 2026.</w:t>
      </w:r>
    </w:p>
    <w:p>
      <w:r>
        <w:rPr>
          <w:sz w:val="18"/>
        </w:rPr>
        <w:t>Templates to adapt and implement. No guarantee of compliance or an audit outcome. ProviderQMS, Wani Meridian Pty Ltd, support@providerqms.com.au, 0401 705 610.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